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592" w:rsidRDefault="006C1BE7" w:rsidP="00FA12C1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ESTUDO TÉCNICO PRELIMINAR – ETP</w:t>
      </w:r>
    </w:p>
    <w:p w:rsidR="00010F6A" w:rsidRDefault="00010F6A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:rsidR="00010F6A" w:rsidRDefault="00535A82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 PARA NÃO ELABORAÇÃO</w:t>
      </w:r>
      <w:r w:rsidR="005632B5">
        <w:rPr>
          <w:rFonts w:ascii="Arial" w:eastAsia="Arial" w:hAnsi="Arial" w:cs="Arial"/>
          <w:b/>
          <w:sz w:val="24"/>
          <w:szCs w:val="24"/>
        </w:rPr>
        <w:t xml:space="preserve"> DO ETP</w:t>
      </w:r>
    </w:p>
    <w:p w:rsidR="00BC7592" w:rsidRPr="00681552" w:rsidRDefault="00BC7592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32"/>
        <w:gridCol w:w="5654"/>
      </w:tblGrid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98300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Setor Requisitante</w:t>
            </w:r>
            <w:r w:rsidR="006C1BE7"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Equipe Responsável (Nome de todos os responsáveis):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Cargo, e-mails e telefones de todos os responsáveis: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Objeto: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C7592" w:rsidRPr="00681552" w:rsidTr="00535A82">
        <w:trPr>
          <w:cantSplit/>
          <w:tblHeader/>
        </w:trPr>
        <w:tc>
          <w:tcPr>
            <w:tcW w:w="3632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do Protocolo/Pedido:</w:t>
            </w:r>
          </w:p>
        </w:tc>
        <w:tc>
          <w:tcPr>
            <w:tcW w:w="5654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E240C" w:rsidRDefault="002E240C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83008" w:rsidRDefault="00535A82" w:rsidP="00C62319">
      <w:pPr>
        <w:pStyle w:val="Normal1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o Decreto Estadual nº 10.086/2022, alterado pelo Decreto </w:t>
      </w:r>
      <w:r w:rsidR="004C6E9D">
        <w:rPr>
          <w:rFonts w:ascii="Arial" w:eastAsia="Arial" w:hAnsi="Arial" w:cs="Arial"/>
          <w:sz w:val="24"/>
          <w:szCs w:val="24"/>
        </w:rPr>
        <w:t>9.065/2025</w:t>
      </w:r>
      <w:r>
        <w:rPr>
          <w:rFonts w:ascii="Arial" w:eastAsia="Arial" w:hAnsi="Arial" w:cs="Arial"/>
          <w:sz w:val="24"/>
          <w:szCs w:val="24"/>
        </w:rPr>
        <w:t>, em especial o artigo 16, parágrafos 2º</w:t>
      </w:r>
      <w:r w:rsidR="004C6E9D">
        <w:rPr>
          <w:rFonts w:ascii="Arial" w:eastAsia="Arial" w:hAnsi="Arial" w:cs="Arial"/>
          <w:sz w:val="24"/>
          <w:szCs w:val="24"/>
        </w:rPr>
        <w:t xml:space="preserve"> e 4º</w:t>
      </w:r>
      <w:r>
        <w:rPr>
          <w:rFonts w:ascii="Arial" w:eastAsia="Arial" w:hAnsi="Arial" w:cs="Arial"/>
          <w:sz w:val="24"/>
          <w:szCs w:val="24"/>
        </w:rPr>
        <w:t>:</w:t>
      </w:r>
    </w:p>
    <w:p w:rsidR="00535A82" w:rsidRDefault="00535A82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35A82" w:rsidRDefault="00535A82" w:rsidP="005632B5">
      <w:pPr>
        <w:pStyle w:val="Default"/>
        <w:spacing w:after="120"/>
        <w:ind w:left="992"/>
        <w:jc w:val="both"/>
        <w:rPr>
          <w:rFonts w:ascii="Times New Roman" w:hAnsi="Times New Roman" w:cs="Times New Roman"/>
          <w:i/>
          <w:color w:val="auto"/>
        </w:rPr>
      </w:pPr>
      <w:r w:rsidRPr="00535A82">
        <w:rPr>
          <w:rFonts w:ascii="Times New Roman" w:hAnsi="Times New Roman" w:cs="Times New Roman"/>
          <w:b/>
          <w:bCs/>
          <w:i/>
          <w:color w:val="auto"/>
        </w:rPr>
        <w:t xml:space="preserve">Art. 16. </w:t>
      </w:r>
      <w:r w:rsidR="004C6E9D" w:rsidRPr="004C6E9D">
        <w:rPr>
          <w:rFonts w:ascii="Times New Roman" w:hAnsi="Times New Roman" w:cs="Times New Roman"/>
          <w:i/>
          <w:color w:val="auto"/>
        </w:rPr>
        <w:t>É obrigatória a elaboração de ETP para a aquisição de bens e a contratação de serviços, na fase de planejamento dos seguintes processos licitatórios e contratações diretas:</w:t>
      </w:r>
    </w:p>
    <w:p w:rsidR="007401EA" w:rsidRP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  <w:r w:rsidRPr="007401EA">
        <w:rPr>
          <w:i/>
          <w:sz w:val="24"/>
          <w:szCs w:val="24"/>
        </w:rPr>
        <w:t xml:space="preserve">§ 2º A elaboração de ETP tratada neste artigo é: </w:t>
      </w:r>
    </w:p>
    <w:p w:rsidR="007401EA" w:rsidRP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</w:p>
    <w:p w:rsidR="007401EA" w:rsidRP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  <w:r w:rsidRPr="007401EA">
        <w:rPr>
          <w:i/>
          <w:sz w:val="24"/>
          <w:szCs w:val="24"/>
        </w:rPr>
        <w:t xml:space="preserve">I - facultada nas hipóteses dos incisos I, II, VII e VIII do art. 75 e do § 7º do art. 90 da Lei nº 14.133, de 2021; </w:t>
      </w:r>
    </w:p>
    <w:p w:rsidR="007401EA" w:rsidRP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</w:p>
    <w:p w:rsid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  <w:r w:rsidRPr="007401EA">
        <w:rPr>
          <w:i/>
          <w:sz w:val="24"/>
          <w:szCs w:val="24"/>
        </w:rPr>
        <w:t xml:space="preserve">II - dispensada na hipótese do inciso III do art. 75 da Lei nº 14.133, de 2021, e nos casos de prorrogações dos contratos de serviços e fornecimentos contínuos. </w:t>
      </w:r>
    </w:p>
    <w:p w:rsid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</w:p>
    <w:p w:rsidR="007401EA" w:rsidRDefault="007401EA" w:rsidP="007401EA">
      <w:pPr>
        <w:pStyle w:val="Normal1"/>
        <w:ind w:left="993"/>
        <w:jc w:val="both"/>
        <w:rPr>
          <w:i/>
          <w:sz w:val="24"/>
          <w:szCs w:val="24"/>
        </w:rPr>
      </w:pPr>
      <w:r w:rsidRPr="007401EA">
        <w:rPr>
          <w:i/>
          <w:sz w:val="24"/>
          <w:szCs w:val="24"/>
        </w:rPr>
        <w:t>§ 4º Os estudos técnicos preliminares de contratações anteriores do mesmo órgão ou entidade poderão ser ratificados nos processos licitatórios e contratações diretas posteriores para o mesmo objeto, mediante documento formal nos autos que apresente justificativa para essa opção e declaração devidamente fundamentada com relação à viabilidade técnica e atualidade econômica do estudo.</w:t>
      </w: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35A82" w:rsidRPr="00C62319" w:rsidRDefault="00C62319" w:rsidP="00C62319">
      <w:pPr>
        <w:pStyle w:val="Normal1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Realizamos a </w:t>
      </w:r>
      <w:r w:rsidRPr="00C62319">
        <w:rPr>
          <w:rFonts w:ascii="Arial" w:eastAsia="Arial" w:hAnsi="Arial" w:cs="Arial"/>
          <w:sz w:val="24"/>
          <w:szCs w:val="24"/>
        </w:rPr>
        <w:t xml:space="preserve">avaliação </w:t>
      </w:r>
      <w:r w:rsidR="004F0A66">
        <w:rPr>
          <w:rFonts w:ascii="Arial" w:eastAsia="Arial" w:hAnsi="Arial" w:cs="Arial"/>
          <w:sz w:val="24"/>
          <w:szCs w:val="24"/>
        </w:rPr>
        <w:t>do caso</w:t>
      </w:r>
      <w:r w:rsidRPr="00C6231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concluímos não ser necessária a</w:t>
      </w:r>
      <w:r w:rsidRPr="00C62319">
        <w:rPr>
          <w:rFonts w:ascii="Arial" w:hAnsi="Arial" w:cs="Arial"/>
          <w:sz w:val="24"/>
          <w:szCs w:val="24"/>
        </w:rPr>
        <w:t xml:space="preserve"> elaboração de ETP, </w:t>
      </w:r>
      <w:r>
        <w:rPr>
          <w:rFonts w:ascii="Arial" w:hAnsi="Arial" w:cs="Arial"/>
          <w:sz w:val="24"/>
          <w:szCs w:val="24"/>
        </w:rPr>
        <w:t xml:space="preserve">uma vez que </w:t>
      </w:r>
      <w:r w:rsidR="004F0A66">
        <w:rPr>
          <w:rFonts w:ascii="Arial" w:hAnsi="Arial" w:cs="Arial"/>
          <w:sz w:val="24"/>
          <w:szCs w:val="24"/>
        </w:rPr>
        <w:t xml:space="preserve">se enquadra </w:t>
      </w:r>
      <w:r w:rsidR="00FA12C1">
        <w:rPr>
          <w:rFonts w:ascii="Arial" w:hAnsi="Arial" w:cs="Arial"/>
          <w:sz w:val="24"/>
          <w:szCs w:val="24"/>
        </w:rPr>
        <w:t>às</w:t>
      </w:r>
      <w:r w:rsidR="004F0A66">
        <w:rPr>
          <w:rFonts w:ascii="Arial" w:hAnsi="Arial" w:cs="Arial"/>
          <w:sz w:val="24"/>
          <w:szCs w:val="24"/>
        </w:rPr>
        <w:t xml:space="preserve"> exceções </w:t>
      </w:r>
      <w:r w:rsidR="00FA12C1">
        <w:rPr>
          <w:rFonts w:ascii="Arial" w:hAnsi="Arial" w:cs="Arial"/>
          <w:sz w:val="24"/>
          <w:szCs w:val="24"/>
        </w:rPr>
        <w:t>legais de sua obrigatoriedade</w:t>
      </w:r>
      <w:r>
        <w:rPr>
          <w:rFonts w:ascii="Arial" w:hAnsi="Arial" w:cs="Arial"/>
          <w:sz w:val="24"/>
          <w:szCs w:val="24"/>
        </w:rPr>
        <w:t>.</w:t>
      </w:r>
    </w:p>
    <w:p w:rsidR="00BC7592" w:rsidRPr="00C62319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right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Maringá, .... de ......  de 202</w:t>
      </w:r>
      <w:r w:rsidR="00FD4BC0">
        <w:rPr>
          <w:rFonts w:ascii="Arial" w:eastAsia="Arial" w:hAnsi="Arial" w:cs="Arial"/>
          <w:sz w:val="24"/>
          <w:szCs w:val="24"/>
        </w:rPr>
        <w:t>..</w:t>
      </w:r>
      <w:r w:rsidRPr="00681552">
        <w:rPr>
          <w:rFonts w:ascii="Arial" w:eastAsia="Arial" w:hAnsi="Arial" w:cs="Arial"/>
          <w:sz w:val="24"/>
          <w:szCs w:val="24"/>
        </w:rPr>
        <w:t>.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Assinatura dos Responsáveis</w:t>
      </w: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(nome e matrícula)</w:t>
      </w:r>
    </w:p>
    <w:sectPr w:rsidR="00BC7592" w:rsidRPr="00681552" w:rsidSect="005632B5">
      <w:headerReference w:type="default" r:id="rId9"/>
      <w:pgSz w:w="11905" w:h="16837"/>
      <w:pgMar w:top="1569" w:right="1134" w:bottom="1021" w:left="1701" w:header="737" w:footer="73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D0" w:rsidRDefault="001D73D0" w:rsidP="00BC7592">
      <w:r>
        <w:separator/>
      </w:r>
    </w:p>
  </w:endnote>
  <w:endnote w:type="continuationSeparator" w:id="1">
    <w:p w:rsidR="001D73D0" w:rsidRDefault="001D73D0" w:rsidP="00BC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Roman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D0" w:rsidRDefault="001D73D0" w:rsidP="00BC7592">
      <w:r>
        <w:separator/>
      </w:r>
    </w:p>
  </w:footnote>
  <w:footnote w:type="continuationSeparator" w:id="1">
    <w:p w:rsidR="001D73D0" w:rsidRDefault="001D73D0" w:rsidP="00BC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134" w:type="dxa"/>
      <w:tblInd w:w="-709" w:type="dxa"/>
      <w:tblLayout w:type="fixed"/>
      <w:tblLook w:val="0000"/>
    </w:tblPr>
    <w:tblGrid>
      <w:gridCol w:w="1418"/>
      <w:gridCol w:w="7229"/>
      <w:gridCol w:w="1487"/>
    </w:tblGrid>
    <w:tr w:rsidR="00BC7592" w:rsidTr="005632B5">
      <w:trPr>
        <w:cantSplit/>
        <w:trHeight w:val="1567"/>
        <w:tblHeader/>
      </w:trPr>
      <w:tc>
        <w:tcPr>
          <w:tcW w:w="1418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i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746911" cy="873660"/>
                <wp:effectExtent l="1905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232" cy="8740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5632B5" w:rsidRPr="005632B5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rFonts w:ascii="Arial" w:eastAsia="Liberation Serif" w:hAnsi="Arial" w:cs="Arial"/>
              <w:b/>
              <w:color w:val="000000"/>
              <w:sz w:val="24"/>
              <w:szCs w:val="24"/>
            </w:rPr>
          </w:pPr>
          <w:r w:rsidRPr="005632B5">
            <w:rPr>
              <w:rFonts w:ascii="Arial" w:eastAsia="Liberation Serif" w:hAnsi="Arial" w:cs="Arial"/>
              <w:b/>
              <w:color w:val="000000"/>
              <w:sz w:val="28"/>
              <w:szCs w:val="28"/>
            </w:rPr>
            <w:t xml:space="preserve">Universidade Estadual de Maringá </w:t>
          </w:r>
          <w:r>
            <w:rPr>
              <w:rFonts w:ascii="Arial" w:eastAsia="Liberation Serif" w:hAnsi="Arial" w:cs="Arial"/>
              <w:b/>
              <w:color w:val="000000"/>
              <w:sz w:val="28"/>
              <w:szCs w:val="28"/>
            </w:rPr>
            <w:t>–</w:t>
          </w:r>
          <w:r w:rsidRPr="005632B5">
            <w:rPr>
              <w:rFonts w:ascii="Arial" w:eastAsia="Liberation Serif" w:hAnsi="Arial" w:cs="Arial"/>
              <w:b/>
              <w:color w:val="000000"/>
              <w:sz w:val="28"/>
              <w:szCs w:val="28"/>
            </w:rPr>
            <w:t xml:space="preserve"> </w:t>
          </w:r>
          <w:r w:rsidRPr="005632B5">
            <w:rPr>
              <w:rFonts w:ascii="Arial" w:eastAsia="Liberation Serif" w:hAnsi="Arial" w:cs="Arial"/>
              <w:b/>
              <w:sz w:val="28"/>
              <w:szCs w:val="28"/>
            </w:rPr>
            <w:t>UEM</w:t>
          </w:r>
        </w:p>
        <w:p w:rsidR="005632B5" w:rsidRPr="00553A79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rFonts w:ascii="Arial" w:eastAsia="Liberation Serif" w:hAnsi="Arial" w:cs="Arial"/>
              <w:color w:val="000000"/>
              <w:sz w:val="24"/>
              <w:szCs w:val="24"/>
            </w:rPr>
          </w:pP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 xml:space="preserve">Av. Colombo, 5.790 </w:t>
          </w:r>
          <w:r>
            <w:rPr>
              <w:rFonts w:ascii="Arial" w:eastAsia="Liberation Serif" w:hAnsi="Arial" w:cs="Arial"/>
              <w:color w:val="000000"/>
              <w:sz w:val="24"/>
              <w:szCs w:val="24"/>
            </w:rPr>
            <w:t>–</w:t>
          </w: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 xml:space="preserve"> Campus Universitário – CEP: 87020-900</w:t>
          </w:r>
        </w:p>
        <w:p w:rsidR="005632B5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rFonts w:ascii="Arial" w:eastAsia="Liberation Serif" w:hAnsi="Arial" w:cs="Arial"/>
              <w:color w:val="000000"/>
              <w:sz w:val="24"/>
              <w:szCs w:val="24"/>
            </w:rPr>
          </w:pP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>CNPJ/MF: 79.151.312/0001-56</w:t>
          </w:r>
        </w:p>
        <w:p w:rsidR="00BC7592" w:rsidRDefault="005632B5" w:rsidP="005632B5">
          <w:pPr>
            <w:pBdr>
              <w:top w:val="none" w:sz="0" w:space="0" w:color="000000"/>
              <w:left w:val="none" w:sz="0" w:space="0" w:color="000000"/>
              <w:bottom w:val="none" w:sz="0" w:space="31" w:color="000000"/>
              <w:right w:val="none" w:sz="0" w:space="0" w:color="000000"/>
              <w:between w:val="nil"/>
            </w:pBdr>
            <w:tabs>
              <w:tab w:val="left" w:pos="2123"/>
              <w:tab w:val="left" w:pos="2123"/>
            </w:tabs>
            <w:spacing w:line="276" w:lineRule="auto"/>
            <w:rPr>
              <w:b/>
              <w:color w:val="000000"/>
              <w:sz w:val="24"/>
              <w:szCs w:val="24"/>
            </w:rPr>
          </w:pPr>
          <w:r w:rsidRPr="00553A79">
            <w:rPr>
              <w:rFonts w:ascii="Arial" w:eastAsia="Liberation Serif" w:hAnsi="Arial" w:cs="Arial"/>
              <w:color w:val="000000"/>
              <w:sz w:val="24"/>
              <w:szCs w:val="24"/>
            </w:rPr>
            <w:t>Inscrição Estadual: Isenta</w:t>
          </w:r>
        </w:p>
      </w:tc>
      <w:tc>
        <w:tcPr>
          <w:tcW w:w="1487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0" distR="0">
                <wp:extent cx="733330" cy="873660"/>
                <wp:effectExtent l="1905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052" cy="8769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C7592" w:rsidRDefault="00BC759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284"/>
      <w:rPr>
        <w:rFonts w:ascii="Roman 10cpi" w:eastAsia="Roman 10cpi" w:hAnsi="Roman 10cpi" w:cs="Roman 10cpi"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FF9"/>
    <w:multiLevelType w:val="multilevel"/>
    <w:tmpl w:val="3B1AAAC2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ind w:left="2422" w:hanging="360"/>
      </w:pPr>
    </w:lvl>
    <w:lvl w:ilvl="2">
      <w:start w:val="1"/>
      <w:numFmt w:val="decimal"/>
      <w:lvlText w:val="%3."/>
      <w:lvlJc w:val="left"/>
      <w:pPr>
        <w:ind w:left="2782" w:hanging="360"/>
      </w:pPr>
    </w:lvl>
    <w:lvl w:ilvl="3">
      <w:start w:val="1"/>
      <w:numFmt w:val="decimal"/>
      <w:lvlText w:val="%4."/>
      <w:lvlJc w:val="left"/>
      <w:pPr>
        <w:ind w:left="3142" w:hanging="360"/>
      </w:pPr>
    </w:lvl>
    <w:lvl w:ilvl="4">
      <w:start w:val="1"/>
      <w:numFmt w:val="decimal"/>
      <w:lvlText w:val="%5."/>
      <w:lvlJc w:val="left"/>
      <w:pPr>
        <w:ind w:left="3502" w:hanging="360"/>
      </w:pPr>
    </w:lvl>
    <w:lvl w:ilvl="5">
      <w:start w:val="1"/>
      <w:numFmt w:val="decimal"/>
      <w:lvlText w:val="%6."/>
      <w:lvlJc w:val="left"/>
      <w:pPr>
        <w:ind w:left="3862" w:hanging="360"/>
      </w:pPr>
    </w:lvl>
    <w:lvl w:ilvl="6">
      <w:start w:val="1"/>
      <w:numFmt w:val="decimal"/>
      <w:lvlText w:val="%7."/>
      <w:lvlJc w:val="left"/>
      <w:pPr>
        <w:ind w:left="4222" w:hanging="360"/>
      </w:pPr>
    </w:lvl>
    <w:lvl w:ilvl="7">
      <w:start w:val="1"/>
      <w:numFmt w:val="decimal"/>
      <w:lvlText w:val="%8."/>
      <w:lvlJc w:val="left"/>
      <w:pPr>
        <w:ind w:left="4582" w:hanging="360"/>
      </w:pPr>
    </w:lvl>
    <w:lvl w:ilvl="8">
      <w:start w:val="1"/>
      <w:numFmt w:val="decimal"/>
      <w:lvlText w:val="%9."/>
      <w:lvlJc w:val="left"/>
      <w:pPr>
        <w:ind w:left="49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C7592"/>
    <w:rsid w:val="00010F6A"/>
    <w:rsid w:val="00022D2D"/>
    <w:rsid w:val="00057EF9"/>
    <w:rsid w:val="000873BB"/>
    <w:rsid w:val="0009573A"/>
    <w:rsid w:val="000B7BD8"/>
    <w:rsid w:val="000D2CEA"/>
    <w:rsid w:val="000E70A5"/>
    <w:rsid w:val="000F2CB2"/>
    <w:rsid w:val="001C705D"/>
    <w:rsid w:val="001C7450"/>
    <w:rsid w:val="001D0C02"/>
    <w:rsid w:val="001D73D0"/>
    <w:rsid w:val="001F1F80"/>
    <w:rsid w:val="001F2ADD"/>
    <w:rsid w:val="0026212E"/>
    <w:rsid w:val="002E240C"/>
    <w:rsid w:val="00303CC8"/>
    <w:rsid w:val="00352C9D"/>
    <w:rsid w:val="00357132"/>
    <w:rsid w:val="003F3F0B"/>
    <w:rsid w:val="00414EBD"/>
    <w:rsid w:val="004511B8"/>
    <w:rsid w:val="004956B3"/>
    <w:rsid w:val="004B66AD"/>
    <w:rsid w:val="004C6E9D"/>
    <w:rsid w:val="004F0A66"/>
    <w:rsid w:val="00532D65"/>
    <w:rsid w:val="00535A82"/>
    <w:rsid w:val="005604B9"/>
    <w:rsid w:val="005632B5"/>
    <w:rsid w:val="00586C16"/>
    <w:rsid w:val="005C4DBE"/>
    <w:rsid w:val="005D505C"/>
    <w:rsid w:val="006614FE"/>
    <w:rsid w:val="00681552"/>
    <w:rsid w:val="00697719"/>
    <w:rsid w:val="006C1BE7"/>
    <w:rsid w:val="007327B0"/>
    <w:rsid w:val="00736B90"/>
    <w:rsid w:val="007401EA"/>
    <w:rsid w:val="00774468"/>
    <w:rsid w:val="00784C91"/>
    <w:rsid w:val="007A4472"/>
    <w:rsid w:val="007A4C4F"/>
    <w:rsid w:val="007B02C4"/>
    <w:rsid w:val="00820A03"/>
    <w:rsid w:val="00833DDC"/>
    <w:rsid w:val="00837F50"/>
    <w:rsid w:val="00847F5B"/>
    <w:rsid w:val="008B5A5B"/>
    <w:rsid w:val="008F0396"/>
    <w:rsid w:val="008F3A73"/>
    <w:rsid w:val="00971E4D"/>
    <w:rsid w:val="00976B80"/>
    <w:rsid w:val="00983008"/>
    <w:rsid w:val="00995792"/>
    <w:rsid w:val="00A3517F"/>
    <w:rsid w:val="00A35450"/>
    <w:rsid w:val="00AB42EE"/>
    <w:rsid w:val="00AB7033"/>
    <w:rsid w:val="00B0149E"/>
    <w:rsid w:val="00B33FD4"/>
    <w:rsid w:val="00B877B2"/>
    <w:rsid w:val="00BC6E9B"/>
    <w:rsid w:val="00BC7592"/>
    <w:rsid w:val="00BF40EB"/>
    <w:rsid w:val="00C444A7"/>
    <w:rsid w:val="00C62319"/>
    <w:rsid w:val="00CD2A45"/>
    <w:rsid w:val="00CF26B9"/>
    <w:rsid w:val="00D153BF"/>
    <w:rsid w:val="00D26792"/>
    <w:rsid w:val="00D83D6F"/>
    <w:rsid w:val="00DC1BFC"/>
    <w:rsid w:val="00DE77B9"/>
    <w:rsid w:val="00E332FE"/>
    <w:rsid w:val="00E56ED2"/>
    <w:rsid w:val="00E57BA8"/>
    <w:rsid w:val="00EA6FD4"/>
    <w:rsid w:val="00F06656"/>
    <w:rsid w:val="00F92218"/>
    <w:rsid w:val="00FA12C1"/>
    <w:rsid w:val="00FC1A38"/>
    <w:rsid w:val="00FD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D2"/>
  </w:style>
  <w:style w:type="paragraph" w:styleId="Ttulo1">
    <w:name w:val="heading 1"/>
    <w:basedOn w:val="Normal1"/>
    <w:next w:val="Normal1"/>
    <w:rsid w:val="00BC7592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1"/>
    <w:next w:val="Normal1"/>
    <w:rsid w:val="00BC7592"/>
    <w:pPr>
      <w:keepNext/>
      <w:jc w:val="center"/>
      <w:outlineLvl w:val="1"/>
    </w:pPr>
    <w:rPr>
      <w:sz w:val="24"/>
      <w:szCs w:val="24"/>
    </w:rPr>
  </w:style>
  <w:style w:type="paragraph" w:styleId="Ttulo3">
    <w:name w:val="heading 3"/>
    <w:basedOn w:val="Normal1"/>
    <w:next w:val="Normal1"/>
    <w:rsid w:val="00BC7592"/>
    <w:pPr>
      <w:keepNext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1"/>
    <w:next w:val="Normal1"/>
    <w:rsid w:val="00BC7592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BC7592"/>
    <w:pPr>
      <w:keepNext/>
      <w:ind w:left="-567"/>
      <w:jc w:val="center"/>
      <w:outlineLvl w:val="4"/>
    </w:pPr>
    <w:rPr>
      <w:b/>
      <w:sz w:val="36"/>
      <w:szCs w:val="36"/>
      <w:u w:val="single"/>
    </w:rPr>
  </w:style>
  <w:style w:type="paragraph" w:styleId="Ttulo6">
    <w:name w:val="heading 6"/>
    <w:basedOn w:val="Normal1"/>
    <w:next w:val="Normal1"/>
    <w:rsid w:val="00BC7592"/>
    <w:pPr>
      <w:keepNext/>
      <w:ind w:right="-57"/>
      <w:jc w:val="center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7592"/>
  </w:style>
  <w:style w:type="table" w:customStyle="1" w:styleId="TableNormal">
    <w:name w:val="Table Normal"/>
    <w:rsid w:val="00BC75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592"/>
    <w:pPr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Subttulo">
    <w:name w:val="Subtitle"/>
    <w:basedOn w:val="Normal1"/>
    <w:next w:val="Normal1"/>
    <w:rsid w:val="00BC759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C759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4C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7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149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149E"/>
  </w:style>
  <w:style w:type="character" w:styleId="Refdenotaderodap">
    <w:name w:val="footnote reference"/>
    <w:basedOn w:val="Fontepargpadro"/>
    <w:uiPriority w:val="99"/>
    <w:semiHidden/>
    <w:unhideWhenUsed/>
    <w:rsid w:val="00B014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149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35A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63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32B5"/>
  </w:style>
  <w:style w:type="paragraph" w:styleId="Rodap">
    <w:name w:val="footer"/>
    <w:basedOn w:val="Normal"/>
    <w:link w:val="RodapChar"/>
    <w:uiPriority w:val="99"/>
    <w:semiHidden/>
    <w:unhideWhenUsed/>
    <w:rsid w:val="00563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632B5"/>
  </w:style>
  <w:style w:type="paragraph" w:customStyle="1" w:styleId="normal0">
    <w:name w:val="normal"/>
    <w:rsid w:val="005632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123"/>
      </w:tabs>
      <w:ind w:hanging="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6JiBgtyrbW/J/elHOjTi1RDVg==">CgMxLjA4AHIhMTJ4UFV0OWR1QjBoT1Bmc0N4aE93MXc2TzVvSzVKYTE0</go:docsCustomData>
</go:gDocsCustomXmlDataStorage>
</file>

<file path=customXml/itemProps1.xml><?xml version="1.0" encoding="utf-8"?>
<ds:datastoreItem xmlns:ds="http://schemas.openxmlformats.org/officeDocument/2006/customXml" ds:itemID="{42371C4B-D3C1-4A37-B552-EA61B5F0F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2025-09-17T18:22:00Z</dcterms:created>
  <dcterms:modified xsi:type="dcterms:W3CDTF">2025-09-17T18:22:00Z</dcterms:modified>
</cp:coreProperties>
</file>